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CA" w:rsidRPr="001268CA" w:rsidRDefault="001268CA" w:rsidP="001268CA">
      <w:pPr>
        <w:shd w:val="clear" w:color="auto" w:fill="FFFFFF"/>
        <w:spacing w:before="150" w:after="375" w:line="300" w:lineRule="atLeast"/>
        <w:textAlignment w:val="baseline"/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</w:pPr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t>Для начала работы необходим квалифицированный сертификат электронной подписи.</w:t>
      </w:r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br/>
        <w:t>Входящие документы не тарифицируются, оплачивать необходимо только исходящие документы.</w:t>
      </w:r>
    </w:p>
    <w:tbl>
      <w:tblPr>
        <w:tblW w:w="5000" w:type="pct"/>
        <w:tblCellSpacing w:w="0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3836"/>
        <w:gridCol w:w="1417"/>
        <w:gridCol w:w="1843"/>
        <w:gridCol w:w="1843"/>
        <w:gridCol w:w="1843"/>
        <w:gridCol w:w="1984"/>
        <w:gridCol w:w="2104"/>
      </w:tblGrid>
      <w:tr w:rsidR="001268CA" w:rsidRPr="001268CA" w:rsidTr="001268CA">
        <w:trPr>
          <w:tblHeader/>
          <w:tblCellSpacing w:w="0" w:type="dxa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81D45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before="60" w:after="0" w:line="285" w:lineRule="atLeast"/>
              <w:jc w:val="center"/>
              <w:textAlignment w:val="baseline"/>
              <w:outlineLvl w:val="3"/>
              <w:rPr>
                <w:rFonts w:ascii="pt_regular" w:eastAsia="Times New Roman" w:hAnsi="pt_regular" w:cs="Times New Roman"/>
                <w:color w:val="FFFFFF"/>
                <w:sz w:val="33"/>
                <w:szCs w:val="33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FFFFFF"/>
                <w:sz w:val="33"/>
                <w:szCs w:val="33"/>
                <w:lang w:eastAsia="ru-RU"/>
              </w:rPr>
              <w:t>Универсальный</w:t>
            </w:r>
          </w:p>
          <w:p w:rsidR="001268CA" w:rsidRPr="001268CA" w:rsidRDefault="001268CA" w:rsidP="001268CA">
            <w:pPr>
              <w:spacing w:after="0" w:line="300" w:lineRule="atLeast"/>
              <w:jc w:val="center"/>
              <w:rPr>
                <w:rFonts w:ascii="pt_regular" w:eastAsia="Times New Roman" w:hAnsi="pt_regular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68CA">
              <w:rPr>
                <w:rFonts w:ascii="pt_regular" w:eastAsia="Times New Roman" w:hAnsi="pt_regular" w:cs="Times New Roman"/>
                <w:color w:val="6E6E6E"/>
                <w:sz w:val="21"/>
                <w:lang w:eastAsia="ru-RU"/>
              </w:rPr>
              <w:t>постоплатный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6E6E6E"/>
                <w:sz w:val="21"/>
                <w:lang w:eastAsia="ru-RU"/>
              </w:rPr>
              <w:t xml:space="preserve"> тариф</w:t>
            </w:r>
          </w:p>
        </w:tc>
        <w:tc>
          <w:tcPr>
            <w:tcW w:w="1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3C5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before="60" w:after="0" w:line="285" w:lineRule="atLeast"/>
              <w:jc w:val="center"/>
              <w:textAlignment w:val="baseline"/>
              <w:outlineLvl w:val="3"/>
              <w:rPr>
                <w:rFonts w:ascii="pt_regular" w:eastAsia="Times New Roman" w:hAnsi="pt_regular" w:cs="Times New Roman"/>
                <w:color w:val="FFFFFF"/>
                <w:sz w:val="33"/>
                <w:szCs w:val="33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FFFFFF"/>
                <w:sz w:val="33"/>
                <w:szCs w:val="33"/>
                <w:lang w:eastAsia="ru-RU"/>
              </w:rPr>
              <w:t>Пакетные тарифы</w:t>
            </w:r>
          </w:p>
          <w:p w:rsidR="001268CA" w:rsidRPr="001268CA" w:rsidRDefault="001268CA" w:rsidP="001268CA">
            <w:pPr>
              <w:spacing w:after="0" w:line="300" w:lineRule="atLeast"/>
              <w:jc w:val="center"/>
              <w:rPr>
                <w:rFonts w:ascii="pt_regular" w:eastAsia="Times New Roman" w:hAnsi="pt_regular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6E6E6E"/>
                <w:sz w:val="21"/>
                <w:lang w:eastAsia="ru-RU"/>
              </w:rPr>
              <w:t>с предоплатой</w:t>
            </w:r>
          </w:p>
        </w:tc>
      </w:tr>
      <w:tr w:rsidR="001268CA" w:rsidRPr="001268CA" w:rsidTr="001268CA">
        <w:trPr>
          <w:tblCellSpacing w:w="0" w:type="dxa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 xml:space="preserve">Входящие документы 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10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 xml:space="preserve">Входящие документы 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бесплатно</w:t>
            </w:r>
          </w:p>
        </w:tc>
      </w:tr>
      <w:tr w:rsidR="001268CA" w:rsidRPr="001268CA" w:rsidTr="001268CA">
        <w:trPr>
          <w:tblCellSpacing w:w="0" w:type="dxa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Исходящие документы оплачиваются по факту в конце каждого месяца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10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Исходящие документы уже оплачены. Предоплата расходуется по специальным ценам: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br/>
              <w:t>чем больше пакет — тем дешевле стоит каждый документ.</w:t>
            </w:r>
          </w:p>
        </w:tc>
      </w:tr>
      <w:tr w:rsidR="001268CA" w:rsidRPr="001268CA" w:rsidTr="001268CA">
        <w:trPr>
          <w:tblCellSpacing w:w="0" w:type="dxa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Формализованные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 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3"/>
                <w:lang w:eastAsia="ru-RU"/>
              </w:rPr>
              <w:t>7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500 </w:t>
            </w:r>
            <w:proofErr w:type="spellStart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x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2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000 </w:t>
            </w:r>
            <w:proofErr w:type="spellStart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x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6,8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5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000 </w:t>
            </w:r>
            <w:proofErr w:type="spellStart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x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6,6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10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000 </w:t>
            </w:r>
            <w:proofErr w:type="spellStart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x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6,4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15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000 </w:t>
            </w:r>
            <w:proofErr w:type="spellStart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x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6,2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20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000 </w:t>
            </w:r>
            <w:proofErr w:type="spellStart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x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</w:tr>
      <w:tr w:rsidR="001268CA" w:rsidRPr="001268CA" w:rsidTr="001268CA">
        <w:trPr>
          <w:tblCellSpacing w:w="0" w:type="dxa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9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9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или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9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или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9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или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9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9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или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25" w:type="dxa"/>
              <w:bottom w:w="9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или</w:t>
            </w:r>
          </w:p>
        </w:tc>
      </w:tr>
      <w:tr w:rsidR="001268CA" w:rsidRPr="001268CA" w:rsidTr="001268CA">
        <w:trPr>
          <w:tblCellSpacing w:w="0" w:type="dxa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Неформализованные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 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3"/>
                <w:lang w:eastAsia="ru-RU"/>
              </w:rPr>
              <w:t>3,5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1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000 </w:t>
            </w:r>
            <w:proofErr w:type="spellStart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x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3,5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4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000 </w:t>
            </w:r>
            <w:proofErr w:type="spellStart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x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3,4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10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000 </w:t>
            </w:r>
            <w:proofErr w:type="spellStart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x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3,3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20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000 </w:t>
            </w:r>
            <w:proofErr w:type="spellStart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x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3,2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30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000 </w:t>
            </w:r>
            <w:proofErr w:type="spellStart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x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3,1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40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000 </w:t>
            </w:r>
            <w:proofErr w:type="spellStart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x</w:t>
            </w:r>
            <w:proofErr w:type="spellEnd"/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1268CA">
              <w:rPr>
                <w:rFonts w:ascii="rouble" w:eastAsia="Times New Roman" w:hAnsi="rouble" w:cs="Times New Roman"/>
                <w:color w:val="000000"/>
                <w:sz w:val="23"/>
                <w:lang w:eastAsia="ru-RU"/>
              </w:rPr>
              <w:t>p</w:t>
            </w:r>
          </w:p>
        </w:tc>
      </w:tr>
      <w:tr w:rsidR="001268CA" w:rsidRPr="001268CA" w:rsidTr="001268CA">
        <w:trPr>
          <w:tblCellSpacing w:w="0" w:type="dxa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1268CA">
              <w:rPr>
                <w:rFonts w:ascii="rouble" w:eastAsia="Times New Roman" w:hAnsi="rouble" w:cs="Times New Roman"/>
                <w:b/>
                <w:bCs/>
                <w:color w:val="000000"/>
                <w:sz w:val="23"/>
                <w:lang w:eastAsia="ru-RU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500</w:t>
            </w:r>
            <w:r w:rsidRPr="001268CA">
              <w:rPr>
                <w:rFonts w:ascii="rouble" w:eastAsia="Times New Roman" w:hAnsi="rouble" w:cs="Times New Roman"/>
                <w:b/>
                <w:bCs/>
                <w:color w:val="000000"/>
                <w:sz w:val="23"/>
                <w:lang w:eastAsia="ru-RU"/>
              </w:rPr>
              <w:t>p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  <w:r w:rsidRPr="001268CA">
              <w:rPr>
                <w:rFonts w:ascii="rouble" w:eastAsia="Times New Roman" w:hAnsi="rouble" w:cs="Times New Roman"/>
                <w:b/>
                <w:bCs/>
                <w:color w:val="000000"/>
                <w:sz w:val="23"/>
                <w:lang w:eastAsia="ru-RU"/>
              </w:rPr>
              <w:t>p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Экономия 1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400</w:t>
            </w:r>
            <w:r w:rsidRPr="001268CA">
              <w:rPr>
                <w:rFonts w:ascii="rouble" w:eastAsia="Times New Roman" w:hAnsi="rouble" w:cs="Times New Roman"/>
                <w:color w:val="AFAFAF"/>
                <w:sz w:val="23"/>
                <w:lang w:eastAsia="ru-RU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000</w:t>
            </w:r>
            <w:r w:rsidRPr="001268CA">
              <w:rPr>
                <w:rFonts w:ascii="rouble" w:eastAsia="Times New Roman" w:hAnsi="rouble" w:cs="Times New Roman"/>
                <w:b/>
                <w:bCs/>
                <w:color w:val="000000"/>
                <w:sz w:val="23"/>
                <w:lang w:eastAsia="ru-RU"/>
              </w:rPr>
              <w:t>p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Экономия 2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</w:t>
            </w:r>
            <w:r w:rsidRPr="001268CA">
              <w:rPr>
                <w:rFonts w:ascii="rouble" w:eastAsia="Times New Roman" w:hAnsi="rouble" w:cs="Times New Roman"/>
                <w:color w:val="AFAFAF"/>
                <w:sz w:val="23"/>
                <w:lang w:eastAsia="ru-RU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64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000</w:t>
            </w:r>
            <w:r w:rsidRPr="001268CA">
              <w:rPr>
                <w:rFonts w:ascii="rouble" w:eastAsia="Times New Roman" w:hAnsi="rouble" w:cs="Times New Roman"/>
                <w:b/>
                <w:bCs/>
                <w:color w:val="000000"/>
                <w:sz w:val="23"/>
                <w:lang w:eastAsia="ru-RU"/>
              </w:rPr>
              <w:t>p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Экономия 6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</w:t>
            </w:r>
            <w:r w:rsidRPr="001268CA">
              <w:rPr>
                <w:rFonts w:ascii="rouble" w:eastAsia="Times New Roman" w:hAnsi="rouble" w:cs="Times New Roman"/>
                <w:color w:val="AFAFAF"/>
                <w:sz w:val="23"/>
                <w:lang w:eastAsia="ru-RU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93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000</w:t>
            </w:r>
            <w:r w:rsidRPr="001268CA">
              <w:rPr>
                <w:rFonts w:ascii="rouble" w:eastAsia="Times New Roman" w:hAnsi="rouble" w:cs="Times New Roman"/>
                <w:b/>
                <w:bCs/>
                <w:color w:val="000000"/>
                <w:sz w:val="23"/>
                <w:lang w:eastAsia="ru-RU"/>
              </w:rPr>
              <w:t>p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Экономия 12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</w:t>
            </w:r>
            <w:r w:rsidRPr="001268CA">
              <w:rPr>
                <w:rFonts w:ascii="rouble" w:eastAsia="Times New Roman" w:hAnsi="rouble" w:cs="Times New Roman"/>
                <w:color w:val="AFAFAF"/>
                <w:sz w:val="23"/>
                <w:lang w:eastAsia="ru-RU"/>
              </w:rPr>
              <w:t>p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8CA" w:rsidRPr="001268CA" w:rsidRDefault="001268CA" w:rsidP="001268CA">
            <w:pPr>
              <w:spacing w:after="0" w:line="300" w:lineRule="atLeast"/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</w:pP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120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b/>
                <w:bCs/>
                <w:color w:val="000000"/>
                <w:sz w:val="26"/>
                <w:szCs w:val="26"/>
                <w:lang w:eastAsia="ru-RU"/>
              </w:rPr>
              <w:t>000</w:t>
            </w:r>
            <w:r w:rsidRPr="001268CA">
              <w:rPr>
                <w:rFonts w:ascii="rouble" w:eastAsia="Times New Roman" w:hAnsi="rouble" w:cs="Times New Roman"/>
                <w:b/>
                <w:bCs/>
                <w:color w:val="000000"/>
                <w:sz w:val="23"/>
                <w:lang w:eastAsia="ru-RU"/>
              </w:rPr>
              <w:t>p</w:t>
            </w:r>
            <w:r w:rsidRPr="001268CA">
              <w:rPr>
                <w:rFonts w:ascii="pt_regular" w:eastAsia="Times New Roman" w:hAnsi="pt_regular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Экономия 20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11"/>
                <w:lang w:eastAsia="ru-RU"/>
              </w:rPr>
              <w:t> </w:t>
            </w:r>
            <w:r w:rsidRPr="001268CA">
              <w:rPr>
                <w:rFonts w:ascii="pt_regular" w:eastAsia="Times New Roman" w:hAnsi="pt_regular" w:cs="Times New Roman"/>
                <w:color w:val="AFAFAF"/>
                <w:sz w:val="21"/>
                <w:lang w:eastAsia="ru-RU"/>
              </w:rPr>
              <w:t>000</w:t>
            </w:r>
            <w:r w:rsidRPr="001268CA">
              <w:rPr>
                <w:rFonts w:ascii="rouble" w:eastAsia="Times New Roman" w:hAnsi="rouble" w:cs="Times New Roman"/>
                <w:color w:val="AFAFAF"/>
                <w:sz w:val="23"/>
                <w:lang w:eastAsia="ru-RU"/>
              </w:rPr>
              <w:t>p</w:t>
            </w:r>
          </w:p>
        </w:tc>
      </w:tr>
    </w:tbl>
    <w:p w:rsidR="001268CA" w:rsidRPr="001268CA" w:rsidRDefault="001268CA" w:rsidP="001268CA">
      <w:pPr>
        <w:shd w:val="clear" w:color="auto" w:fill="FFFFFF"/>
        <w:spacing w:after="0" w:line="240" w:lineRule="auto"/>
        <w:textAlignment w:val="baseline"/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</w:pPr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t>Формализованный документ — документ, атрибуты которого подлежат автоматической обработке. Перечень формализованных и неформализованных документов публикуется на </w:t>
      </w:r>
      <w:hyperlink r:id="rId4" w:tgtFrame="_blank" w:history="1">
        <w:r w:rsidRPr="001268CA">
          <w:rPr>
            <w:rFonts w:ascii="pt_regular" w:eastAsia="Times New Roman" w:hAnsi="pt_regular" w:cs="Arial"/>
            <w:color w:val="2270B8"/>
            <w:sz w:val="23"/>
            <w:lang w:eastAsia="ru-RU"/>
          </w:rPr>
          <w:t>сайте</w:t>
        </w:r>
      </w:hyperlink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t>.</w:t>
      </w:r>
    </w:p>
    <w:p w:rsidR="001268CA" w:rsidRPr="001268CA" w:rsidRDefault="001268CA" w:rsidP="001268CA">
      <w:pPr>
        <w:shd w:val="clear" w:color="auto" w:fill="FFFFFF"/>
        <w:spacing w:after="0" w:line="240" w:lineRule="auto"/>
        <w:textAlignment w:val="baseline"/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</w:pPr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t>*Срок действия любого пакетного предложения — 1 год.</w:t>
      </w:r>
    </w:p>
    <w:p w:rsidR="001268CA" w:rsidRPr="001268CA" w:rsidRDefault="001268CA" w:rsidP="001268CA">
      <w:pPr>
        <w:shd w:val="clear" w:color="auto" w:fill="FFFFFF"/>
        <w:spacing w:after="0" w:line="240" w:lineRule="auto"/>
        <w:textAlignment w:val="baseline"/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</w:pPr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t>*По окончании лимита документов или по истечении срока действия пакетного предложения отправка формализованного документа будет стоить — 7 руб., неформализованного — 3,5 руб.</w:t>
      </w:r>
    </w:p>
    <w:p w:rsidR="001268CA" w:rsidRPr="001268CA" w:rsidRDefault="001268CA" w:rsidP="001268CA">
      <w:pPr>
        <w:shd w:val="clear" w:color="auto" w:fill="FFFFFF"/>
        <w:spacing w:after="0" w:line="240" w:lineRule="auto"/>
        <w:textAlignment w:val="baseline"/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</w:pPr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t>Оплата производится только за документы, по которым принимающая сторона не отказалась от подписи документа.</w:t>
      </w:r>
    </w:p>
    <w:p w:rsidR="001268CA" w:rsidRPr="001268CA" w:rsidRDefault="001268CA" w:rsidP="001268CA">
      <w:pPr>
        <w:shd w:val="clear" w:color="auto" w:fill="FFFFFF"/>
        <w:spacing w:after="0" w:line="240" w:lineRule="auto"/>
        <w:textAlignment w:val="baseline"/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</w:pPr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t>Не облагается НДС (п.п.2.6 п</w:t>
      </w:r>
      <w:proofErr w:type="gramStart"/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t>2</w:t>
      </w:r>
      <w:proofErr w:type="gramEnd"/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t>. ст. 149 НК РФ)</w:t>
      </w:r>
    </w:p>
    <w:p w:rsidR="001268CA" w:rsidRPr="001268CA" w:rsidRDefault="001268CA" w:rsidP="001268CA">
      <w:pPr>
        <w:shd w:val="clear" w:color="auto" w:fill="FFFFFF"/>
        <w:spacing w:after="0" w:line="240" w:lineRule="auto"/>
        <w:textAlignment w:val="baseline"/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</w:pPr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t>Электронная подпись с установкой на рабочее место — от 2000 рублей.</w:t>
      </w:r>
    </w:p>
    <w:p w:rsidR="001268CA" w:rsidRPr="001268CA" w:rsidRDefault="001268CA" w:rsidP="001268CA">
      <w:pPr>
        <w:shd w:val="clear" w:color="auto" w:fill="FFFFFF"/>
        <w:spacing w:after="0" w:line="240" w:lineRule="auto"/>
        <w:textAlignment w:val="baseline"/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</w:pPr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t>Облачная электронная подпись — 900 рублей.</w:t>
      </w:r>
    </w:p>
    <w:p w:rsidR="007F3115" w:rsidRPr="001268CA" w:rsidRDefault="001268CA" w:rsidP="001268CA">
      <w:pPr>
        <w:shd w:val="clear" w:color="auto" w:fill="FFFFFF"/>
        <w:spacing w:after="0" w:line="240" w:lineRule="auto"/>
        <w:textAlignment w:val="baseline"/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</w:pPr>
      <w:r w:rsidRPr="001268CA">
        <w:rPr>
          <w:rFonts w:ascii="pt_regular" w:eastAsia="Times New Roman" w:hAnsi="pt_regular" w:cs="Arial"/>
          <w:color w:val="000000"/>
          <w:sz w:val="23"/>
          <w:szCs w:val="23"/>
          <w:lang w:eastAsia="ru-RU"/>
        </w:rPr>
        <w:t>Рабочее место с правом просмотра/визирования — бесплатно.</w:t>
      </w:r>
    </w:p>
    <w:sectPr w:rsidR="007F3115" w:rsidRPr="001268CA" w:rsidSect="00126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ub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8CA"/>
    <w:rsid w:val="001268CA"/>
    <w:rsid w:val="007F3115"/>
    <w:rsid w:val="0083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8CA"/>
    <w:rPr>
      <w:strike w:val="0"/>
      <w:dstrike w:val="0"/>
      <w:color w:val="2270B8"/>
      <w:u w:val="none"/>
      <w:effect w:val="none"/>
      <w:vertAlign w:val="baseline"/>
    </w:rPr>
  </w:style>
  <w:style w:type="character" w:customStyle="1" w:styleId="pricetableflat-subtitle1">
    <w:name w:val="pricetable_flat-subtitle1"/>
    <w:basedOn w:val="a0"/>
    <w:rsid w:val="001268CA"/>
    <w:rPr>
      <w:b w:val="0"/>
      <w:bCs w:val="0"/>
      <w:color w:val="6E6E6E"/>
      <w:sz w:val="21"/>
      <w:szCs w:val="21"/>
      <w:vertAlign w:val="baseline"/>
    </w:rPr>
  </w:style>
  <w:style w:type="character" w:customStyle="1" w:styleId="contentgray1">
    <w:name w:val="content_gray1"/>
    <w:basedOn w:val="a0"/>
    <w:rsid w:val="001268CA"/>
    <w:rPr>
      <w:color w:val="AFAFAF"/>
      <w:vertAlign w:val="baseline"/>
    </w:rPr>
  </w:style>
  <w:style w:type="character" w:customStyle="1" w:styleId="contentbig1">
    <w:name w:val="content_big1"/>
    <w:basedOn w:val="a0"/>
    <w:rsid w:val="001268CA"/>
    <w:rPr>
      <w:sz w:val="23"/>
      <w:szCs w:val="23"/>
      <w:vertAlign w:val="baseline"/>
    </w:rPr>
  </w:style>
  <w:style w:type="character" w:customStyle="1" w:styleId="rouble4">
    <w:name w:val="rouble4"/>
    <w:basedOn w:val="a0"/>
    <w:rsid w:val="001268CA"/>
    <w:rPr>
      <w:rFonts w:ascii="rouble" w:hAnsi="rouble" w:hint="default"/>
      <w:sz w:val="23"/>
      <w:szCs w:val="23"/>
      <w:vertAlign w:val="baseline"/>
    </w:rPr>
  </w:style>
  <w:style w:type="character" w:customStyle="1" w:styleId="tinyspace1">
    <w:name w:val="tinyspace1"/>
    <w:basedOn w:val="a0"/>
    <w:rsid w:val="001268CA"/>
    <w:rPr>
      <w:sz w:val="12"/>
      <w:szCs w:val="12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12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6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doc.ru/docs/laws/doctypes?utm_source=(direct)&amp;utm_medium=(none)&amp;utm_campaign=(direct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cp:lastPrinted>2014-07-14T11:32:00Z</cp:lastPrinted>
  <dcterms:created xsi:type="dcterms:W3CDTF">2014-07-14T11:35:00Z</dcterms:created>
  <dcterms:modified xsi:type="dcterms:W3CDTF">2014-07-14T11:35:00Z</dcterms:modified>
</cp:coreProperties>
</file>